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</w:pPr>
      <w:r>
        <w:rPr>
          <w:b/>
          <w:sz w:val="36"/>
        </w:rPr>
        <w:t xml:space="preserve">Angebot Nr. TO-20261006-SCHULE</w:t>
      </w:r>
    </w:p>
    <w:p>
      <w:pPr>
        <w:spacing w:before="0" w:after="120"/>
      </w:pPr>
      <w:r>
        <w:rPr>
          <w:color w:val="666666"/>
        </w:rPr>
        <w:t xml:space="preserve">Tuttuno – Marco Testrut · Düsseldorfer Str. 30, 10707 Berlin · marcotestrut@gmail.com</w:t>
      </w:r>
    </w:p>
    <w:p>
      <w:pPr>
        <w:spacing w:before="8" w:after="120"/>
      </w:pPr>
      <w:r>
        <w:t xml:space="preserve">An: [Schule]</w:t>
      </w:r>
    </w:p>
    <w:p>
      <w:pPr>
        <w:spacing w:before="0" w:after="12"/>
      </w:pPr>
      <w:r>
        <w:t xml:space="preserve">Datum: 06.10.2026 · Bindefrist: 05.12.2026</w:t>
      </w:r>
    </w:p>
    <w:p>
      <w:pPr>
        <w:spacing w:before="240" w:after="120"/>
      </w:pPr>
      <w:r>
        <w:rPr>
          <w:b/>
          <w:sz w:val="28"/>
        </w:rPr>
        <w:t xml:space="preserve">1 · Leistungsbeschreibung</w:t>
      </w:r>
    </w:p>
    <w:tbl>
      <w:tblPr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2400" w:type="dxa"/>
          </w:tcPr>
          <w:p>
            <w:pPr>
              <w:spacing w:before="0" w:after="40"/>
            </w:pPr>
            <w:r>
              <w:rPr>
                <w:b/>
              </w:rPr>
              <w:t xml:space="preserve">Position</w:t>
            </w:r>
          </w:p>
        </w:tc>
        <w:tc>
          <w:tcPr>
            <w:tcW w:w="6700" w:type="dxa"/>
          </w:tcPr>
          <w:p>
            <w:pPr>
              <w:spacing w:before="0" w:after="40"/>
            </w:pPr>
            <w:r>
              <w:rPr>
                <w:b/>
              </w:rPr>
              <w:t xml:space="preserve">Leistung</w:t>
            </w:r>
          </w:p>
        </w:tc>
      </w:tr>
      <w:tr>
        <w:tc>
          <w:tcPr>
            <w:tcW w:w="2400" w:type="dxa"/>
          </w:tcPr>
          <w:p>
            <w:pPr>
              <w:spacing w:before="0" w:after="40"/>
            </w:pPr>
            <w:r>
              <w:t xml:space="preserve">1 Nutzungsrecht Tuttuno, Schullizenz</w:t>
            </w:r>
          </w:p>
        </w:tc>
        <w:tc>
          <w:tcPr>
            <w:tcW w:w="6700" w:type="dxa"/>
          </w:tcPr>
          <w:p>
            <w:pPr>
              <w:spacing w:before="0" w:after="40"/>
            </w:pPr>
            <w:r>
              <w:t xml:space="preserve">Webbasierte Unterrichtsplanung für alle Lehrkräfte der Schule in den freigeschalteten Fächern: Stoffverteilung nach Rahmenlehrplan, Stundenplanung mit Präsentation, Aufgabengeneratoren mit Lösungen und Hilfestufen, Klassenarbeiten mit Erwartungshorizont, Wochen-Hausaufgabe, Klassenseite für Eltern, Exporte (PDF, .docx, QTI, Moodle).</w:t>
            </w:r>
          </w:p>
        </w:tc>
      </w:tr>
      <w:tr>
        <w:tc>
          <w:tcPr>
            <w:tcW w:w="2400" w:type="dxa"/>
          </w:tcPr>
          <w:p>
            <w:pPr>
              <w:spacing w:before="0" w:after="40"/>
            </w:pPr>
            <w:r>
              <w:t xml:space="preserve">2 Fachschaftsfunktionen</w:t>
            </w:r>
          </w:p>
        </w:tc>
        <w:tc>
          <w:tcPr>
            <w:tcW w:w="6700" w:type="dxa"/>
          </w:tcPr>
          <w:p>
            <w:pPr>
              <w:spacing w:before="0" w:after="40"/>
            </w:pPr>
            <w:r>
              <w:t xml:space="preserve">Gemeinsame Einheiten, Parallelarbeiten, Freigabe von Klassenarbeiten durch die Fachleitung, Beitrag zum schulinternen Curriculum, einheitliches Bewertungsraster, Stoffstand je Jahrgang ohne Personenbezug.</w:t>
            </w:r>
          </w:p>
        </w:tc>
      </w:tr>
      <w:tr>
        <w:tc>
          <w:tcPr>
            <w:tcW w:w="2400" w:type="dxa"/>
          </w:tcPr>
          <w:p>
            <w:pPr>
              <w:spacing w:before="0" w:after="40"/>
            </w:pPr>
            <w:r>
              <w:t xml:space="preserve">3 Einführung</w:t>
            </w:r>
          </w:p>
        </w:tc>
        <w:tc>
          <w:tcPr>
            <w:tcW w:w="6700" w:type="dxa"/>
          </w:tcPr>
          <w:p>
            <w:pPr>
              <w:spacing w:before="0" w:after="40"/>
            </w:pPr>
            <w:r>
              <w:t xml:space="preserve">Eine Online-Einführung (45 Minuten) für die Fachschaft; schriftliche Kurzanleitung; Vertretungslink ohne Konto.</w:t>
            </w:r>
          </w:p>
        </w:tc>
      </w:tr>
      <w:tr>
        <w:tc>
          <w:tcPr>
            <w:tcW w:w="2400" w:type="dxa"/>
          </w:tcPr>
          <w:p>
            <w:pPr>
              <w:spacing w:before="0" w:after="40"/>
            </w:pPr>
            <w:r>
              <w:t xml:space="preserve">4 Betrieb und Datenschutz</w:t>
            </w:r>
          </w:p>
        </w:tc>
        <w:tc>
          <w:tcPr>
            <w:tcW w:w="6700" w:type="dxa"/>
          </w:tcPr>
          <w:p>
            <w:pPr>
              <w:spacing w:before="0" w:after="40"/>
            </w:pPr>
            <w:r>
              <w:t xml:space="preserve">Hosting in Frankfurt am Main (EU), Auftragsverarbeitungsvertrag nach Art. 28 DSGVO, technische und organisatorische Maßnahmen, Verarbeitungsverzeichnis-Baustein – siehe Datenschutzpaket. Verfügbarkeit angestrebt 99 % im Jahresmittel.</w:t>
            </w:r>
          </w:p>
        </w:tc>
      </w:tr>
      <w:tr>
        <w:tc>
          <w:tcPr>
            <w:tcW w:w="2400" w:type="dxa"/>
          </w:tcPr>
          <w:p>
            <w:pPr>
              <w:spacing w:before="0" w:after="40"/>
            </w:pPr>
            <w:r>
              <w:t xml:space="preserve">5 Support</w:t>
            </w:r>
          </w:p>
        </w:tc>
        <w:tc>
          <w:tcPr>
            <w:tcW w:w="6700" w:type="dxa"/>
          </w:tcPr>
          <w:p>
            <w:pPr>
              <w:spacing w:before="0" w:after="40"/>
            </w:pPr>
            <w:r>
              <w:t xml:space="preserve">Per E-Mail, Antwort innerhalb von zwei Werktagen; Rückmeldungen zu Inhalten mit dokumentierter Prüfung (14 Tage Frist).</w:t>
            </w:r>
          </w:p>
        </w:tc>
      </w:tr>
    </w:tbl>
    <w:p>
      <w:pPr>
        <w:spacing w:before="0" w:after="120"/>
      </w:pPr>
      <w:r>
        <w:t xml:space="preserve"/>
      </w:r>
    </w:p>
    <w:p>
      <w:pPr>
        <w:spacing w:before="240" w:after="120"/>
      </w:pPr>
      <w:r>
        <w:rPr>
          <w:b/>
          <w:sz w:val="28"/>
        </w:rPr>
        <w:t xml:space="preserve">2 · Preis, Laufzeit, Abrechnung</w:t>
      </w:r>
    </w:p>
    <w:p>
      <w:pPr>
        <w:spacing w:before="0" w:after="120"/>
      </w:pPr>
      <w:r>
        <w:t xml:space="preserve">Laufzeit 06.10.2026 bis 31.12.2026 (Haushaltsjahr). Jahrespreis 990,00 € als Endpreis (§ 19 UStG, keine Umsatzsteuer). Abrechnung in nachschüssigen Teilleistungen nach vollständiger Erbringung; November und Dezember sind kostenfrei enthalten. Keine Vorauszahlung, keine automatische Verlängerung.</w:t>
      </w:r>
    </w:p>
    <w:tbl>
      <w:tblPr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600" w:type="dxa"/>
          </w:tcPr>
          <w:p>
            <w:pPr>
              <w:spacing w:before="0" w:after="40"/>
            </w:pPr>
            <w:r>
              <w:rPr>
                <w:b/>
              </w:rPr>
              <w:t xml:space="preserve">Teilleistung</w:t>
            </w:r>
          </w:p>
        </w:tc>
        <w:tc>
          <w:tcPr>
            <w:tcW w:w="3200" w:type="dxa"/>
          </w:tcPr>
          <w:p>
            <w:pPr>
              <w:spacing w:before="0" w:after="40"/>
            </w:pPr>
            <w:r>
              <w:rPr>
                <w:b/>
              </w:rPr>
              <w:t xml:space="preserve">Leistungszeitraum</w:t>
            </w:r>
          </w:p>
        </w:tc>
        <w:tc>
          <w:tcPr>
            <w:tcW w:w="2300" w:type="dxa"/>
          </w:tcPr>
          <w:p>
            <w:pPr>
              <w:spacing w:before="0" w:after="40"/>
            </w:pPr>
            <w:r>
              <w:rPr>
                <w:b/>
              </w:rPr>
              <w:t xml:space="preserve">Rechnungsdatum</w:t>
            </w:r>
          </w:p>
        </w:tc>
        <w:tc>
          <w:tcPr>
            <w:tcW w:w="2000" w:type="dxa"/>
          </w:tcPr>
          <w:p>
            <w:pPr>
              <w:spacing w:before="0" w:after="40"/>
            </w:pPr>
            <w:r>
              <w:rPr>
                <w:b/>
              </w:rPr>
              <w:t xml:space="preserve">Betrag</w:t>
            </w:r>
          </w:p>
        </w:tc>
      </w:tr>
      <w:tr>
        <w:tc>
          <w:tcPr>
            <w:tcW w:w="1600" w:type="dxa"/>
          </w:tcPr>
          <w:p>
            <w:pPr>
              <w:spacing w:before="0" w:after="40"/>
            </w:pPr>
            <w:r>
              <w:t xml:space="preserve">1</w:t>
            </w:r>
          </w:p>
        </w:tc>
        <w:tc>
          <w:tcPr>
            <w:tcW w:w="3200" w:type="dxa"/>
          </w:tcPr>
          <w:p>
            <w:pPr>
              <w:spacing w:before="0" w:after="40"/>
            </w:pPr>
            <w:r>
              <w:t xml:space="preserve">01.10.2026 – 31.10.2026</w:t>
            </w:r>
          </w:p>
        </w:tc>
        <w:tc>
          <w:tcPr>
            <w:tcW w:w="2300" w:type="dxa"/>
          </w:tcPr>
          <w:p>
            <w:pPr>
              <w:spacing w:before="0" w:after="40"/>
            </w:pPr>
            <w:r>
              <w:t xml:space="preserve">01.11.2026</w:t>
            </w:r>
          </w:p>
        </w:tc>
        <w:tc>
          <w:tcPr>
            <w:tcW w:w="2000" w:type="dxa"/>
          </w:tcPr>
          <w:p>
            <w:pPr>
              <w:spacing w:before="0" w:after="40"/>
            </w:pPr>
            <w:r>
              <w:t xml:space="preserve">99,00 €</w:t>
            </w:r>
          </w:p>
        </w:tc>
      </w:tr>
      <w:tr>
        <w:tc>
          <w:tcPr>
            <w:tcW w:w="1600" w:type="dxa"/>
          </w:tcPr>
          <w:p>
            <w:pPr>
              <w:spacing w:before="0" w:after="40"/>
            </w:pPr>
            <w:r>
              <w:t xml:space="preserve">Summe</w:t>
            </w:r>
          </w:p>
        </w:tc>
        <w:tc>
          <w:tcPr>
            <w:tcW w:w="3200" w:type="dxa"/>
          </w:tcPr>
          <w:p>
            <w:pPr>
              <w:spacing w:before="0" w:after="40"/>
            </w:pPr>
          </w:p>
        </w:tc>
        <w:tc>
          <w:tcPr>
            <w:tcW w:w="2300" w:type="dxa"/>
          </w:tcPr>
          <w:p>
            <w:pPr>
              <w:spacing w:before="0" w:after="40"/>
            </w:pPr>
          </w:p>
        </w:tc>
        <w:tc>
          <w:tcPr>
            <w:tcW w:w="2000" w:type="dxa"/>
          </w:tcPr>
          <w:p>
            <w:pPr>
              <w:spacing w:before="0" w:after="40"/>
            </w:pPr>
            <w:r>
              <w:t xml:space="preserve">99,00 €</w:t>
            </w:r>
          </w:p>
        </w:tc>
      </w:tr>
    </w:tbl>
    <w:p>
      <w:pPr>
        <w:spacing w:before="0" w:after="120"/>
      </w:pPr>
      <w:r>
        <w:t xml:space="preserve"/>
      </w:r>
    </w:p>
    <w:p>
      <w:pPr>
        <w:spacing w:before="240" w:after="120"/>
      </w:pPr>
      <w:r>
        <w:rPr>
          <w:b/>
          <w:sz w:val="28"/>
        </w:rPr>
        <w:t xml:space="preserve">3 · Datenschutz</w:t>
      </w:r>
    </w:p>
    <w:p>
      <w:pPr>
        <w:spacing w:before="0" w:after="120"/>
      </w:pPr>
      <w:r>
        <w:t xml:space="preserve">Auftragsverarbeitungsvertrag nach Art. 28 DSGVO, TOM-Liste, Verzeichnis-Baustein und Hosting-Nachweis liegen als Datenschutzpaket bei. Verarbeitung ausschließlich in der EU (Frankfurt am Main, Paris). Keine Schülerkonten; Schülerdaten nur, soweit die Schule sie einträgt, verschlüsselt.</w:t>
      </w:r>
    </w:p>
    <w:p>
      <w:pPr>
        <w:spacing w:before="240" w:after="120"/>
      </w:pPr>
      <w:r>
        <w:rPr>
          <w:b/>
          <w:sz w:val="28"/>
        </w:rPr>
        <w:t xml:space="preserve">4 · Förderfähigkeit (Chancenbudget)</w:t>
      </w:r>
    </w:p>
    <w:tbl>
      <w:tblPr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4200" w:type="dxa"/>
          </w:tcPr>
          <w:p>
            <w:pPr>
              <w:spacing w:before="0" w:after="40"/>
            </w:pPr>
            <w:r>
              <w:rPr>
                <w:b/>
              </w:rPr>
              <w:t xml:space="preserve">Anforderung</w:t>
            </w:r>
          </w:p>
        </w:tc>
        <w:tc>
          <w:tcPr>
            <w:tcW w:w="1000" w:type="dxa"/>
          </w:tcPr>
          <w:p>
            <w:pPr>
              <w:spacing w:before="0" w:after="40"/>
            </w:pPr>
            <w:r>
              <w:rPr>
                <w:b/>
              </w:rPr>
              <w:t xml:space="preserve">Erfüllt</w:t>
            </w:r>
          </w:p>
        </w:tc>
        <w:tc>
          <w:tcPr>
            <w:tcW w:w="3900" w:type="dxa"/>
          </w:tcPr>
          <w:p>
            <w:pPr>
              <w:spacing w:before="0" w:after="40"/>
            </w:pPr>
            <w:r>
              <w:rPr>
                <w:b/>
              </w:rPr>
              <w:t xml:space="preserve">Wo</w:t>
            </w:r>
          </w:p>
        </w:tc>
      </w:tr>
      <w:tr>
        <w:tc>
          <w:tcPr>
            <w:tcW w:w="4200" w:type="dxa"/>
          </w:tcPr>
          <w:p>
            <w:pPr>
              <w:spacing w:before="0" w:after="40"/>
            </w:pPr>
            <w:r>
              <w:t xml:space="preserve">Keine Vorauszahlung – Rechnung erst nach Erbringung der (Teil-)Leistung</w:t>
            </w:r>
          </w:p>
        </w:tc>
        <w:tc>
          <w:tcPr>
            <w:tcW w:w="1000" w:type="dxa"/>
          </w:tcPr>
          <w:p>
            <w:pPr>
              <w:spacing w:before="0" w:after="40"/>
            </w:pPr>
            <w:r>
              <w:t xml:space="preserve">ja</w:t>
            </w:r>
          </w:p>
        </w:tc>
        <w:tc>
          <w:tcPr>
            <w:tcW w:w="3900" w:type="dxa"/>
          </w:tcPr>
          <w:p>
            <w:pPr>
              <w:spacing w:before="0" w:after="40"/>
            </w:pPr>
            <w:r>
              <w:t xml:space="preserve">Rechnungsdatum liegt nach dem Ende jeder Teilleistung</w:t>
            </w:r>
          </w:p>
        </w:tc>
      </w:tr>
      <w:tr>
        <w:tc>
          <w:tcPr>
            <w:tcW w:w="4200" w:type="dxa"/>
          </w:tcPr>
          <w:p>
            <w:pPr>
              <w:spacing w:before="0" w:after="40"/>
            </w:pPr>
            <w:r>
              <w:t xml:space="preserve">Haushaltsjahresbezug – Beginn frühestens 1. Januar, Ende spätestens 31. Dezember</w:t>
            </w:r>
          </w:p>
        </w:tc>
        <w:tc>
          <w:tcPr>
            <w:tcW w:w="1000" w:type="dxa"/>
          </w:tcPr>
          <w:p>
            <w:pPr>
              <w:spacing w:before="0" w:after="40"/>
            </w:pPr>
            <w:r>
              <w:t xml:space="preserve">ja</w:t>
            </w:r>
          </w:p>
        </w:tc>
        <w:tc>
          <w:tcPr>
            <w:tcW w:w="3900" w:type="dxa"/>
          </w:tcPr>
          <w:p>
            <w:pPr>
              <w:spacing w:before="0" w:after="40"/>
            </w:pPr>
            <w:r>
              <w:t xml:space="preserve">Laufzeit</w:t>
            </w:r>
          </w:p>
        </w:tc>
      </w:tr>
      <w:tr>
        <w:tc>
          <w:tcPr>
            <w:tcW w:w="4200" w:type="dxa"/>
          </w:tcPr>
          <w:p>
            <w:pPr>
              <w:spacing w:before="0" w:after="40"/>
            </w:pPr>
            <w:r>
              <w:t xml:space="preserve">Alle Rechnungen vor dem 15. November (Abrechnung nicht verausgabter Mittel)</w:t>
            </w:r>
          </w:p>
        </w:tc>
        <w:tc>
          <w:tcPr>
            <w:tcW w:w="1000" w:type="dxa"/>
          </w:tcPr>
          <w:p>
            <w:pPr>
              <w:spacing w:before="0" w:after="40"/>
            </w:pPr>
            <w:r>
              <w:t xml:space="preserve">ja</w:t>
            </w:r>
          </w:p>
        </w:tc>
        <w:tc>
          <w:tcPr>
            <w:tcW w:w="3900" w:type="dxa"/>
          </w:tcPr>
          <w:p>
            <w:pPr>
              <w:spacing w:before="0" w:after="40"/>
            </w:pPr>
            <w:r>
              <w:t xml:space="preserve">Rechnungstermine 1.4., 1.7., 1.10., 1.11.</w:t>
            </w:r>
          </w:p>
        </w:tc>
      </w:tr>
      <w:tr>
        <w:tc>
          <w:tcPr>
            <w:tcW w:w="4200" w:type="dxa"/>
          </w:tcPr>
          <w:p>
            <w:pPr>
              <w:spacing w:before="0" w:after="40"/>
            </w:pPr>
            <w:r>
              <w:t xml:space="preserve">Leistungsbeschreibung, Preis, Laufzeit und Datenschutznachweis liegen bei</w:t>
            </w:r>
          </w:p>
        </w:tc>
        <w:tc>
          <w:tcPr>
            <w:tcW w:w="1000" w:type="dxa"/>
          </w:tcPr>
          <w:p>
            <w:pPr>
              <w:spacing w:before="0" w:after="40"/>
            </w:pPr>
            <w:r>
              <w:t xml:space="preserve">ja</w:t>
            </w:r>
          </w:p>
        </w:tc>
        <w:tc>
          <w:tcPr>
            <w:tcW w:w="3900" w:type="dxa"/>
          </w:tcPr>
          <w:p>
            <w:pPr>
              <w:spacing w:before="0" w:after="40"/>
            </w:pPr>
            <w:r>
              <w:t xml:space="preserve">Angebot (lib/angebot.ts) und Datenschutzpaket (/datenschutz/paket)</w:t>
            </w:r>
          </w:p>
        </w:tc>
      </w:tr>
      <w:tr>
        <w:tc>
          <w:tcPr>
            <w:tcW w:w="4200" w:type="dxa"/>
          </w:tcPr>
          <w:p>
            <w:pPr>
              <w:spacing w:before="0" w:after="40"/>
            </w:pPr>
            <w:r>
              <w:t xml:space="preserve">Vergabegrenze der Schule geprüft</w:t>
            </w:r>
          </w:p>
        </w:tc>
        <w:tc>
          <w:tcPr>
            <w:tcW w:w="1000" w:type="dxa"/>
          </w:tcPr>
          <w:p>
            <w:pPr>
              <w:spacing w:before="0" w:after="40"/>
            </w:pPr>
            <w:r>
              <w:t xml:space="preserve">prüfen</w:t>
            </w:r>
          </w:p>
        </w:tc>
        <w:tc>
          <w:tcPr>
            <w:tcW w:w="3900" w:type="dxa"/>
          </w:tcPr>
          <w:p>
            <w:pPr>
              <w:spacing w:before="0" w:after="40"/>
            </w:pPr>
            <w:r>
              <w:t xml:space="preserve">Grenze vom Schulträger erfragen – sie ist je Land und Träger verschieden</w:t>
            </w:r>
          </w:p>
        </w:tc>
      </w:tr>
    </w:tbl>
    <w:p>
      <w:pPr>
        <w:spacing w:before="0" w:after="120"/>
      </w:pPr>
      <w:r>
        <w:t xml:space="preserve"/>
      </w:r>
    </w:p>
    <w:p>
      <w:pPr>
        <w:spacing w:before="12" w:after="120"/>
      </w:pPr>
      <w:r>
        <w:rPr>
          <w:color w:val="666666"/>
        </w:rPr>
        <w:t xml:space="preserve">Dieses Angebot ist ein Endpreis-Angebot ohne Umsatzsteuer nach § 19 UStG. Es gilt bis zum Ablauf der Bindefrist; Annahme durch Bestellung mit Bestellnummer des Schulträgers.</w:t>
      </w:r>
    </w:p>
    <w:p>
      <w:pPr>
        <w:spacing w:before="24" w:after="120"/>
      </w:pPr>
      <w:r>
        <w:t xml:space="preserve">Ort, Datum, Unterschrift: ______________________________</w:t>
      </w:r>
    </w:p>
    <w:sectPr>
      <w:footerReference w:type="default" r:id="rId2"/>
      <w:pgSz w:w="11906" w:h="16838"/>
      <w:pgMar w:top="1000" w:right="1000" w:bottom="1000" w:left="1100" w:footer="500"/>
    </w:sectPr>
  </w:body>
</w:document>
</file>

<file path=word/footer1.xml><?xml version="1.0" encoding="utf-8"?>
<w:ftr xmlns:w="http://schemas.openxmlformats.org/wordprocessingml/2006/main">
  <w:p>
    <w:pPr>
      <w:pBdr>
        <w:top w:val="single" w:sz="4" w:space="4" w:color="999999"/>
      </w:pBdr>
      <w:tabs>
        <w:tab w:val="right" w:pos="9806"/>
      </w:tabs>
      <w:spacing w:before="0" w:after="0"/>
    </w:pPr>
    <w:r>
      <w:rPr>
        <w:sz w:val="16"/>
        <w:color w:val="555555"/>
      </w:rPr>
      <w:t xml:space="preserve">Angebot TO-20261006-SCHULE</w:t>
    </w:r>
    <w:r>
      <w:rPr>
        <w:sz w:val="16"/>
        <w:color w:val="555555"/>
      </w:rPr>
      <w:tab/>
      <w:t xml:space="preserve">Seite </w:t>
    </w:r>
    <w:fldSimple w:instr="PAGE">
      <w:r>
        <w:rPr>
          <w:sz w:val="16"/>
          <w:color w:val="555555"/>
        </w:rPr>
        <w:t>1</w:t>
      </w:r>
    </w:fldSimple>
    <w:r>
      <w:rPr>
        <w:sz w:val="16"/>
        <w:color w:val="555555"/>
      </w:rPr>
      <w:t xml:space="preserve"> von </w:t>
    </w:r>
    <w:fldSimple w:instr="NUMPAGES">
      <w:r>
        <w:rPr>
          <w:sz w:val="16"/>
          <w:color w:val="555555"/>
        </w:rPr>
        <w:t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de-DE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Angebot TO-20261006-SCHULE</dc:title>
  <dc:creator>Tuttuno</dc:creator>
  <dc:language>de-DE</dc:language>
</cp:coreProperties>
</file>